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in order to safeguard the health and safety of all of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Hierarchy of controls: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0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w:t>
        <w:br w:type="textWrapping"/>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that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C">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3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3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9">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EbGzYaO28qZerkN27AtzUJFQ==">CgMxLjAyDmguajJ3cXd6YnM4YmI1OAByITE1b2cyaFQ2NUNRQlJhVE9nZzY4NU9KSjJENWl4R1pzRQ==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2022-06-10T20:51:00Z</dcterms:created>
  <dc:creator>Kelly</dc:creator>
</cp:coreProperties>
</file>